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общеобразовательного учреждения «</w:t>
      </w:r>
      <w:r w:rsidR="00CD7ABD">
        <w:rPr>
          <w:rFonts w:ascii="Times New Roman" w:hAnsi="Times New Roman" w:cs="Times New Roman"/>
          <w:sz w:val="24"/>
          <w:szCs w:val="24"/>
        </w:rPr>
        <w:t xml:space="preserve">Ромодановская </w:t>
      </w:r>
      <w:r w:rsidRPr="0094374F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D7ABD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 w:rsidRPr="0094374F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D7ABD">
        <w:rPr>
          <w:rFonts w:ascii="Times New Roman" w:hAnsi="Times New Roman" w:cs="Times New Roman"/>
          <w:sz w:val="24"/>
          <w:szCs w:val="24"/>
        </w:rPr>
        <w:t xml:space="preserve"> №3» Ромодановского</w:t>
      </w:r>
      <w:r w:rsidRPr="0094374F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Центр).</w:t>
      </w:r>
      <w:proofErr w:type="gramEnd"/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</w:t>
      </w: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воспитательный  процесс в Центре в соответствии с целями и задачами Центра и осуществляет </w:t>
      </w:r>
      <w:proofErr w:type="gramStart"/>
      <w:r w:rsidR="008133AF" w:rsidRPr="0094374F">
        <w:rPr>
          <w:rFonts w:ascii="Times New Roman" w:hAnsi="Times New Roman" w:cs="Times New Roman"/>
          <w:sz w:val="24"/>
          <w:szCs w:val="24"/>
        </w:rPr>
        <w:t>к</w:t>
      </w:r>
      <w:r w:rsidRPr="009437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D9D" w:rsidRDefault="002C6D9D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D9D" w:rsidRDefault="002C6D9D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D9D" w:rsidRDefault="002C6D9D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>педагога дополнительного образования Центра образования естественно - научной и технологической направленностей «Точка роста» на базе М</w:t>
      </w:r>
      <w:r w:rsidR="00CD7ABD">
        <w:rPr>
          <w:rFonts w:ascii="Times New Roman" w:hAnsi="Times New Roman" w:cs="Times New Roman"/>
          <w:sz w:val="24"/>
          <w:szCs w:val="24"/>
        </w:rPr>
        <w:t>Б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D7ABD">
        <w:rPr>
          <w:rFonts w:ascii="Times New Roman" w:hAnsi="Times New Roman" w:cs="Times New Roman"/>
          <w:sz w:val="24"/>
          <w:szCs w:val="24"/>
        </w:rPr>
        <w:t xml:space="preserve">« Ромодановская СОШ№3» 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>мотивационной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</w:t>
      </w:r>
      <w:r w:rsidR="00CD7ABD">
        <w:rPr>
          <w:rFonts w:ascii="Times New Roman" w:hAnsi="Times New Roman" w:cs="Times New Roman"/>
          <w:sz w:val="24"/>
          <w:szCs w:val="24"/>
        </w:rPr>
        <w:t>Б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D7ABD">
        <w:rPr>
          <w:rFonts w:ascii="Times New Roman" w:hAnsi="Times New Roman" w:cs="Times New Roman"/>
          <w:sz w:val="24"/>
          <w:szCs w:val="24"/>
        </w:rPr>
        <w:t>«</w:t>
      </w:r>
      <w:r w:rsidR="004E79CA" w:rsidRPr="0094374F">
        <w:rPr>
          <w:rFonts w:ascii="Times New Roman" w:hAnsi="Times New Roman" w:cs="Times New Roman"/>
          <w:sz w:val="24"/>
          <w:szCs w:val="24"/>
        </w:rPr>
        <w:t>Р</w:t>
      </w:r>
      <w:r w:rsidR="00CD7ABD">
        <w:rPr>
          <w:rFonts w:ascii="Times New Roman" w:hAnsi="Times New Roman" w:cs="Times New Roman"/>
          <w:sz w:val="24"/>
          <w:szCs w:val="24"/>
        </w:rPr>
        <w:t>омодановская СОШ»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Pr="0094374F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AF"/>
    <w:rsid w:val="000A3906"/>
    <w:rsid w:val="000C19C1"/>
    <w:rsid w:val="00192DA8"/>
    <w:rsid w:val="00202B77"/>
    <w:rsid w:val="00266F55"/>
    <w:rsid w:val="002A75C8"/>
    <w:rsid w:val="002C6D9D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C3147"/>
    <w:rsid w:val="005F27D0"/>
    <w:rsid w:val="00626245"/>
    <w:rsid w:val="00691D86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CD7ABD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Школа</cp:lastModifiedBy>
  <cp:revision>26</cp:revision>
  <dcterms:created xsi:type="dcterms:W3CDTF">2021-07-28T15:09:00Z</dcterms:created>
  <dcterms:modified xsi:type="dcterms:W3CDTF">2023-04-21T13:01:00Z</dcterms:modified>
</cp:coreProperties>
</file>